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FE" w:rsidRDefault="00932A8E" w:rsidP="00932A8E">
      <w:pPr>
        <w:jc w:val="center"/>
        <w:rPr>
          <w:rFonts w:ascii="Times New Roman" w:hAnsi="Times New Roman" w:cs="Times New Roman"/>
          <w:u w:val="single"/>
        </w:rPr>
      </w:pPr>
      <w:r w:rsidRPr="00932A8E">
        <w:rPr>
          <w:rFonts w:ascii="Times New Roman" w:hAnsi="Times New Roman" w:cs="Times New Roman"/>
          <w:u w:val="single"/>
        </w:rPr>
        <w:t xml:space="preserve">Article 16 </w:t>
      </w:r>
      <w:r>
        <w:rPr>
          <w:rFonts w:ascii="Times New Roman" w:hAnsi="Times New Roman" w:cs="Times New Roman"/>
          <w:u w:val="single"/>
        </w:rPr>
        <w:t>–</w:t>
      </w:r>
      <w:r w:rsidRPr="00932A8E">
        <w:rPr>
          <w:rFonts w:ascii="Times New Roman" w:hAnsi="Times New Roman" w:cs="Times New Roman"/>
          <w:u w:val="single"/>
        </w:rPr>
        <w:t xml:space="preserve"> Benefits</w:t>
      </w:r>
    </w:p>
    <w:p w:rsidR="00932A8E" w:rsidRDefault="00932A8E" w:rsidP="00932A8E">
      <w:pPr>
        <w:jc w:val="center"/>
        <w:rPr>
          <w:rFonts w:ascii="Times New Roman" w:hAnsi="Times New Roman" w:cs="Times New Roman"/>
          <w:u w:val="single"/>
        </w:rPr>
      </w:pPr>
    </w:p>
    <w:p w:rsidR="00932A8E" w:rsidRDefault="00932A8E" w:rsidP="00932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AT&amp;T Bargained Employee Medical Program </w:t>
      </w:r>
      <w:r w:rsidR="006C5EF7">
        <w:rPr>
          <w:rFonts w:ascii="Times New Roman" w:hAnsi="Times New Roman" w:cs="Times New Roman"/>
        </w:rPr>
        <w:t>(Maintained 29% cost share for Option 1 – Broad and 27% for Option 1 – Select)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Option 1- Broad</w:t>
      </w:r>
      <w:r w:rsidR="00E94DC9">
        <w:rPr>
          <w:rFonts w:ascii="Times New Roman" w:hAnsi="Times New Roman" w:cs="Times New Roman"/>
        </w:rPr>
        <w:t xml:space="preserve"> (PPO)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Option 1 – Select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Option 2 – Broad</w:t>
      </w:r>
      <w:r w:rsidR="00E94DC9">
        <w:rPr>
          <w:rFonts w:ascii="Times New Roman" w:hAnsi="Times New Roman" w:cs="Times New Roman"/>
        </w:rPr>
        <w:t xml:space="preserve"> (PPO)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Option 2 – Select</w:t>
      </w:r>
    </w:p>
    <w:p w:rsidR="00932A8E" w:rsidRDefault="006C5EF7" w:rsidP="00932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coverage tiers to allow for cheaper options for participants who have only a spouse / partner or children.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 + Spouse/Partner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 + Children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</w:t>
      </w:r>
    </w:p>
    <w:p w:rsidR="00932A8E" w:rsidRDefault="00932A8E" w:rsidP="00932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Hires eligible for subsidized coverage on date of hire</w:t>
      </w:r>
    </w:p>
    <w:p w:rsidR="00932A8E" w:rsidRDefault="00932A8E" w:rsidP="00932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Wellbeing Incentives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Eligible to earn credits for reimbursement 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$750 Individual, $750 for Spouse ($1500 total)</w:t>
      </w:r>
    </w:p>
    <w:p w:rsidR="00932A8E" w:rsidRDefault="00932A8E" w:rsidP="00932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Savings Account – Option 2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will match up to $1,000 for Individual</w:t>
      </w:r>
    </w:p>
    <w:p w:rsidR="00932A8E" w:rsidRDefault="00932A8E" w:rsidP="00932A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Company </w:t>
      </w:r>
      <w:r w:rsidRPr="00932A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 match up to $2,000 for Individual + Spouse, + Children, Family</w:t>
      </w:r>
    </w:p>
    <w:p w:rsidR="00732DFE" w:rsidRDefault="00732DFE" w:rsidP="00732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Prescription Drug Program (RX) </w:t>
      </w:r>
    </w:p>
    <w:p w:rsidR="00732DFE" w:rsidRDefault="00732DFE" w:rsidP="00732D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Deductible Integrated with Med/</w:t>
      </w:r>
      <w:proofErr w:type="spellStart"/>
      <w:r>
        <w:rPr>
          <w:rFonts w:ascii="Times New Roman" w:hAnsi="Times New Roman" w:cs="Times New Roman"/>
        </w:rPr>
        <w:t>Surg</w:t>
      </w:r>
      <w:proofErr w:type="spellEnd"/>
      <w:r>
        <w:rPr>
          <w:rFonts w:ascii="Times New Roman" w:hAnsi="Times New Roman" w:cs="Times New Roman"/>
        </w:rPr>
        <w:t xml:space="preserve"> MH/SA</w:t>
      </w:r>
    </w:p>
    <w:p w:rsidR="00732DFE" w:rsidRDefault="00732DFE" w:rsidP="00732DFE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applicable coinsurance paid for preventative care drugs as permitted under the IRS Code </w:t>
      </w:r>
      <w:r w:rsidR="006C5EF7">
        <w:rPr>
          <w:rFonts w:ascii="Times New Roman" w:hAnsi="Times New Roman" w:cs="Times New Roman"/>
        </w:rPr>
        <w:t xml:space="preserve">and ACA Preventative list </w:t>
      </w:r>
      <w:r>
        <w:rPr>
          <w:rFonts w:ascii="Times New Roman" w:hAnsi="Times New Roman" w:cs="Times New Roman"/>
        </w:rPr>
        <w:t>is not subject to the deductible.</w:t>
      </w:r>
    </w:p>
    <w:p w:rsidR="00732DFE" w:rsidRDefault="00732DFE" w:rsidP="00732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EAP </w:t>
      </w:r>
    </w:p>
    <w:p w:rsidR="00732DFE" w:rsidRDefault="00732DFE" w:rsidP="00732D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Eligible for 12 sessions per plan year, or more, </w:t>
      </w:r>
      <w:r w:rsidR="00406892">
        <w:rPr>
          <w:rFonts w:ascii="Times New Roman" w:hAnsi="Times New Roman" w:cs="Times New Roman"/>
        </w:rPr>
        <w:t>whichever is higher</w:t>
      </w:r>
      <w:bookmarkStart w:id="0" w:name="_GoBack"/>
      <w:bookmarkEnd w:id="0"/>
    </w:p>
    <w:p w:rsidR="00732DFE" w:rsidRDefault="00732DFE" w:rsidP="00732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Disability </w:t>
      </w:r>
    </w:p>
    <w:p w:rsidR="00732DFE" w:rsidRDefault="00732DFE" w:rsidP="00732D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from current program</w:t>
      </w:r>
    </w:p>
    <w:p w:rsidR="00732DFE" w:rsidRDefault="00732DFE" w:rsidP="00732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Dental and Vision</w:t>
      </w:r>
    </w:p>
    <w:p w:rsidR="00732DFE" w:rsidRDefault="00732DFE" w:rsidP="00732D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from current program (see contribution rates)</w:t>
      </w:r>
    </w:p>
    <w:p w:rsidR="00965C77" w:rsidRDefault="00965C77" w:rsidP="00732D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Dependent Children will be eligible for coverage until the end of the month they turn 26, regardless of marital status.</w:t>
      </w:r>
    </w:p>
    <w:p w:rsidR="00732DFE" w:rsidRDefault="00732DFE" w:rsidP="00732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Flexible Spending Account</w:t>
      </w:r>
    </w:p>
    <w:p w:rsidR="00732DFE" w:rsidRDefault="00732DFE" w:rsidP="00732D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from current program</w:t>
      </w:r>
    </w:p>
    <w:p w:rsidR="00732DFE" w:rsidRDefault="00732DFE" w:rsidP="00732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CarePlus</w:t>
      </w:r>
      <w:proofErr w:type="spellEnd"/>
    </w:p>
    <w:p w:rsidR="00732DFE" w:rsidRDefault="00732DFE" w:rsidP="00732D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from current program</w:t>
      </w:r>
    </w:p>
    <w:p w:rsidR="00732DFE" w:rsidRDefault="00732DFE" w:rsidP="00732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Life Insurance</w:t>
      </w:r>
    </w:p>
    <w:p w:rsidR="00732DFE" w:rsidRDefault="00732DFE" w:rsidP="00732D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change from current program</w:t>
      </w:r>
    </w:p>
    <w:p w:rsidR="006C5EF7" w:rsidRDefault="006C5EF7" w:rsidP="00732D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Dependent Children will be eligible for coverage until the end of the month they turn 26, regardless of marital status.</w:t>
      </w:r>
    </w:p>
    <w:p w:rsidR="006C5EF7" w:rsidRDefault="006C5EF7" w:rsidP="006C5EF7">
      <w:pPr>
        <w:pStyle w:val="ListParagraph"/>
        <w:ind w:left="1440"/>
        <w:rPr>
          <w:rFonts w:ascii="Times New Roman" w:hAnsi="Times New Roman" w:cs="Times New Roman"/>
        </w:rPr>
      </w:pPr>
    </w:p>
    <w:p w:rsidR="00732DFE" w:rsidRDefault="00732DFE" w:rsidP="00732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Adoption, Surrogacy, and Cryopreservation </w:t>
      </w:r>
    </w:p>
    <w:p w:rsidR="00732DFE" w:rsidRDefault="00732DFE" w:rsidP="00732D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Adoption maximum annual reimbursement for qualifying expenses may not be less than $5,000 per child</w:t>
      </w:r>
    </w:p>
    <w:p w:rsidR="00A26F02" w:rsidRDefault="00A26F02" w:rsidP="00A26F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Added eligibility for the AT&amp;T Surrogacy Reimbursement Policy and AT&amp;T Cryopreservation Policy</w:t>
      </w:r>
    </w:p>
    <w:p w:rsidR="00E94DC9" w:rsidRDefault="00E94DC9" w:rsidP="00E94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Spouse / Partner Contributions</w:t>
      </w:r>
    </w:p>
    <w:p w:rsidR="00E94DC9" w:rsidRDefault="00E94DC9" w:rsidP="00E94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2027 - $130</w:t>
      </w:r>
    </w:p>
    <w:p w:rsidR="00E94DC9" w:rsidRDefault="00E94DC9" w:rsidP="00E94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2028 - $135</w:t>
      </w:r>
    </w:p>
    <w:p w:rsidR="00E94DC9" w:rsidRDefault="00E94DC9" w:rsidP="00E94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2029 - $140</w:t>
      </w:r>
    </w:p>
    <w:p w:rsidR="00E94DC9" w:rsidRDefault="00E94DC9" w:rsidP="00E94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2030 - $145</w:t>
      </w:r>
    </w:p>
    <w:p w:rsidR="00E94DC9" w:rsidRDefault="00E94DC9" w:rsidP="00E94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Tobacco Use Contribution</w:t>
      </w:r>
    </w:p>
    <w:p w:rsidR="00E94DC9" w:rsidRDefault="00E94DC9" w:rsidP="00E94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2027- $75</w:t>
      </w:r>
    </w:p>
    <w:p w:rsidR="00E94DC9" w:rsidRDefault="00E94DC9" w:rsidP="00E94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2028 - $75</w:t>
      </w:r>
    </w:p>
    <w:p w:rsidR="00E94DC9" w:rsidRDefault="00E94DC9" w:rsidP="00E94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2029 - $75</w:t>
      </w:r>
    </w:p>
    <w:p w:rsidR="00A26F02" w:rsidRPr="00E94DC9" w:rsidRDefault="00E94DC9" w:rsidP="00A26F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94DC9">
        <w:rPr>
          <w:rFonts w:ascii="Times New Roman" w:hAnsi="Times New Roman" w:cs="Times New Roman"/>
        </w:rPr>
        <w:t>2030- $75</w:t>
      </w:r>
    </w:p>
    <w:p w:rsidR="00A26F02" w:rsidRDefault="00A26F02" w:rsidP="00A26F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Pensions</w:t>
      </w:r>
    </w:p>
    <w:p w:rsidR="00A26F02" w:rsidRDefault="00A26F02" w:rsidP="00A26F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Midwest Program of the AT&amp;T Pension Benefit Program will be eligible for the following pension band increases: </w:t>
      </w:r>
    </w:p>
    <w:p w:rsidR="00A26F02" w:rsidRDefault="00A26F02" w:rsidP="00A26F0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1.0% effective January 1, 2027</w:t>
      </w:r>
    </w:p>
    <w:p w:rsidR="00A26F02" w:rsidRDefault="00A26F02" w:rsidP="00A26F0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1.0% effective January 1, 2028</w:t>
      </w:r>
    </w:p>
    <w:p w:rsidR="00A26F02" w:rsidRDefault="00A26F02" w:rsidP="00A26F0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1.0% effective January 1, 2029</w:t>
      </w:r>
    </w:p>
    <w:p w:rsidR="00A26F02" w:rsidRDefault="00A26F02" w:rsidP="00A26F0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1.0% effective January 1, 2030</w:t>
      </w:r>
    </w:p>
    <w:p w:rsidR="00A26F02" w:rsidRDefault="00A26F02" w:rsidP="00A26F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Bargained Cash Balance Program #2 of the AT&amp;T Pension Benefit Plan</w:t>
      </w:r>
    </w:p>
    <w:p w:rsidR="00A26F02" w:rsidRDefault="00A26F02" w:rsidP="00A26F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Savings Plan</w:t>
      </w:r>
    </w:p>
    <w:p w:rsidR="00A26F02" w:rsidRDefault="00A26F02" w:rsidP="00A26F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 October 1, 2026, Current Employees will be eligible to participate in the AT&amp;T Retirement Savings Plan (ARSP)</w:t>
      </w:r>
    </w:p>
    <w:p w:rsidR="00A26F02" w:rsidRDefault="00A26F02" w:rsidP="00A26F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AT&amp;T Savings and Security Plan account balances will be transferred to the ARSP</w:t>
      </w:r>
    </w:p>
    <w:p w:rsidR="00B83A3B" w:rsidRDefault="00B83A3B" w:rsidP="00B83A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Retirees</w:t>
      </w:r>
    </w:p>
    <w:p w:rsidR="00B83A3B" w:rsidRPr="00A26F02" w:rsidRDefault="00B83A3B" w:rsidP="00B83A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Eligible Retired Employees, who retire during the term of the 2026 agreement, will be eligible to part</w:t>
      </w:r>
      <w:r w:rsidR="00E94DC9">
        <w:rPr>
          <w:rFonts w:ascii="Times New Roman" w:hAnsi="Times New Roman" w:cs="Times New Roman"/>
        </w:rPr>
        <w:t>icipate in the same choice of</w:t>
      </w:r>
      <w:r>
        <w:rPr>
          <w:rFonts w:ascii="Times New Roman" w:hAnsi="Times New Roman" w:cs="Times New Roman"/>
        </w:rPr>
        <w:t xml:space="preserve"> program options and provisions as similarly situated active employees. </w:t>
      </w:r>
    </w:p>
    <w:sectPr w:rsidR="00B83A3B" w:rsidRPr="00A26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76E72"/>
    <w:multiLevelType w:val="hybridMultilevel"/>
    <w:tmpl w:val="4482B84E"/>
    <w:lvl w:ilvl="0" w:tplc="89B0CDF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8E"/>
    <w:rsid w:val="000A3939"/>
    <w:rsid w:val="003F4A1C"/>
    <w:rsid w:val="00406892"/>
    <w:rsid w:val="006C5EF7"/>
    <w:rsid w:val="00732DFE"/>
    <w:rsid w:val="00932A8E"/>
    <w:rsid w:val="00954617"/>
    <w:rsid w:val="00965C77"/>
    <w:rsid w:val="00A26F02"/>
    <w:rsid w:val="00B83A3B"/>
    <w:rsid w:val="00BF387B"/>
    <w:rsid w:val="00E9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Handley</dc:creator>
  <cp:lastModifiedBy>Michael Handley</cp:lastModifiedBy>
  <cp:revision>2</cp:revision>
  <dcterms:created xsi:type="dcterms:W3CDTF">2026-02-03T21:37:00Z</dcterms:created>
  <dcterms:modified xsi:type="dcterms:W3CDTF">2026-02-03T21:37:00Z</dcterms:modified>
</cp:coreProperties>
</file>